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"Информационно-аналитические материалы по вопросам развития системы независимой оценки квалификации"</w:t>
            </w:r>
            <w:r>
              <w:rPr/>
              <w:br/>
            </w:r>
            <w:r>
              <w:rPr>
                <w:sz w:val="48"/>
              </w:rPr>
              <w:t>(доведено письмом АНО НАРК от 11.07.2019 N 632/19)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08.08.2019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Доведено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письмом АНО НАРК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11.07.2019 N 632/19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ИНФОРМАЦИОННО-АНАЛИТИЧЕСКИЕ МАТЕРИАЛЫ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ПО ВОПРОСАМ РАЗВИТИЯ СИСТЕМЫ НЕЗАВИСИМОЙ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ОЦЕНКИ КВАЛИФИКАЦИИ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I. О вопросах прохождения независимой оценки квалификации,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проводимой в соответствии с Федеральным законом от 3 июля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2016 г. N 238-ФЗ "О независимой оценке квалификации"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2017 году Минтруд России в информации "Ответы на часто задаваемые вопросы по реализации Федерального закона от 3 июля 2016 г. N 238-ФЗ "О независимой оценке квалификации" (от 21 апреля 2017 г.) изложил позицию о том, что "оценка квалификации является добровольной как для работников, так и для работодателей и не влечет за собой каких-либо обязательных последствий или требований". Эта позиция находила отражение в средствах массовой информации, комментариях специалистов, а также в формирующейся судебной практике по данному вопросу (решение Верховного Суда Российской Федерации от 16 ноября 2017 г. N АКПИ17-733).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 момента публикации этой информации прошло два года. Можно ли сейчас утверждать, что независимая оценка квалификации остается добровольной для всех работников и работодателей и не влечет за собой каких-либо последствий?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Законодательство Российской Федерации не содержит прямых норм о том, что проведение независимой оценки квалификации является для работников (соискателей) и работодателей исключительно добровольным, не влекущим за собой каких-либо обязательных последствий или требований.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со статьей 196 Трудового кодекса Российской Федерации (далее - ТК РФ) необходимость направления работников на прохождение независимой оценки квалификации определяет работодатель.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Направление работников (с их письменного согласия) на прохождение независимой оценки квалификации осуществляется работодателем на условиях и в порядке, которые определяются коллективным договором, соглашением, а также трудовым договором, заключенным между работодателем и работником.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Работодателем определяется перечень необходимых профессий и специальностей для направления работников на прохождение независимой оценки квалификации (с учетом мнения представительного органа работников).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Работники имеют право на прохождение независимой оценки квалификации, которое реализуется путем заключения договора между работником и работодателем (статья 197 ТК РФ).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случае если в отраслевом (межотраслевом), территориальном или ином соглашении, заключенном сторонами социального партнерства, предусмотрена обязанность работодателей, присоединившихся к соглашению, направлять работников отрасли на прохождение независимой оценки квалификации, а работники обязаны проходить соответствующие экзамены, то работодатели, присоединившиеся к соглашению, должны предусматривать в своих коллективных договорах или локальных нормативных актах такие обязательства (такая практика уже существует, например, в лифтовой отрасли и сфере вертикального транспорта). В этом случае прохождение независимой оценки квалификации является обязательным как для работодателей, так и для работников отрасли.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Так, пунктом 1.12 Федерального тарифного соглашения в лифтовой отрасли и сфере вертикального транспорта на 2019 - 2021 годы, заключенного Общероссийским профсоюзом работников жизнеобеспечения с Федерацией лифтовых предприятий, предусмотрено обязательство работодателей осуществлять оценку и присвоение профессиональных квалификаций работников в рамках независимой оценки квалификации, а в пункте 1.10 Отраслевого тарифного соглашения в жилищно-коммунальном хозяйстве Российской Федерации на 2017 - 2019 годы наличие свидетельства о квалификации предполагается учитывать при премировании работников отрасли.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Кроме того, обязательность прохождения независимой оценки квалификации для работников лифтовой отрасли уже установлена законодательно.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(утверждены постановлением Правительства Российской Федерации от 24 июня 2017 г. N 743) оценка квалификации работников, осуществляющих деятельность по монтажу, демонтажу, обслуживанию, включая аварийно-техническое обслуживание лифтов, подъемных платформ для инвалидов, движущихся пешеходных дорожек и эскалаторов, осуществляется в соответствии с положениями Федерального закона "О независимой оценке квалификации".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Негативные последствия могут наступить для работника (соискателя) в случае, если результаты независимой оценки его квалификации оказались неудовлетворительными. К примеру, трудовое законодательство не запрещает работодателю принять решение об отказе в трудоустройстве соискателя в случае его недостаточной квалификации, подтвержденной неудовлетворительным результатом прохождения независимого профессионального экзамена, в случае направления соискателя на независимую оценку квалификации за счет средств работодателя (Вопрос: ...Правомерно ли отказать в трудоустройстве соискателю в случае неудовлетворительного результата независимой оценки квалификации или при отказе от ее прохождения? (Консультация эксперта, Минтруд России, 2018), или не запрещает работодателю учитывать результаты независимой оценки квалификации при проведении аттестации работника в соответствии со статьей 81 ТК РФ.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заключение отметим, что в соответствии с Основными направлениями деятельности Правительства Российской Федерации, утвержденными Председателем Правительства Российской Федерации Д.А. Медведевым 29 сентября 2018 года, развитие института национальной системы квалификаций, в том числе за счет повышения вовлеченности работодателей, является одной из приоритетных мер, направленных на поддержание уровня и обновление структуры занятости населения.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Федеральные органы исполнительной власти активно взаимодействуют с советами по профессиональным квалификациям для решения задач обеспечения отраслей необходимыми кадрами.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Совет по профессиональным квалификациям в жилищно-коммунальном хозяйстве совместно с Министерством строительства Российской Федерации реализуют План мероприятий по формированию отраслевой системы квалификаций в ЖКХ. Совет по профессиональным квалификациям в области обеспечения безопасности в чрезвычайных ситуациях заключил соглашение с МЧС России о консолидации усилий общества и государства в решении проблем пожарной безопасности и общественных объединений пожарной охраны по укреплению противопожарной защиты населенных пунктов и объектов экономики в Российской Федерации. Советом по профессиональным квалификациям финансового рынка было заключено соглашение о сотрудничестве с Центральным банком Российской Федерации в целях повышения эффективности функционирования системы профессиональных квалификаций в финансовой сфере Российской Федерации.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Согласно Отраслевому тарифному соглашению в электроэнергетике Российской Федерации на 2019 - 2021 годы стороны социального партнерства в электроэнергетике на отраслевом, территориальном и локальном уровне предпринимают усилия по внедрению отраслевого сегмента Национальной системы профессиональных квалификаций, включая, независимую оценку квалификации работников, в том числе приняли на себя обязательства по формированию планов, предусматривающих периодическую оценку профессиональных квалификаций работников в соответствии с Федеральным законом "О независимой оценке квалификаций".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Во исполнение пункта 2.5 Плана мероприятий (Дорожной карты) по развитию национальной системы квалификаций в Российской Федерации на период до 2024 года (одобрена Национальным советом при Президенте Российской Федерации по профессиональным квалификациям 19 октября 2018 г., протокол N 30) до 2021 года планируется внести изменения в нормативные правовые акты, регулирующие порядок допуска к профессиональной деятельности, связанной с повышенными рисками, предусматривающие применение профессиональных стандартов и результатов независимой оценки квалификаций.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Механизм независимой оценки квалификации будет с каждым годом охватывать все большее число видов профессиональной деятельности, а вопрос об обязательности его применения будет решаться адресно с учетом приоритетных задач развития экономики страны и обеспечения безопасности граждан.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II. О страховых взносах сумм оплаты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организацией-работодателем стоимости независимой оценки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квалификации работника, проводимой в форме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профессионального экзамена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со статьей 4 Федерального закона от 3 июля 2016 года N 238-ФЗ "О независимой оценке квалификации" независимая оценка квалификации проводится в форме профессионального экзамена центром оценки квалификаций.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со статьей 196 Трудового кодекса Российской Федерации необходимость подготовки работников (профессиональное образование и профессиональное обучение) и получения ими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 этом в соответствии со статьей 187 Трудового кодекса Российской Федерации 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 пунктом 1 статьи 420 Налогового кодекса Российской Федерации объектом обложения страховыми взносами для организаций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База для начисления страховых взносов для указанных плательщиков определяется как сумма выплат и иных вознаграждений, предусмотренных пунктом 1 статьи 420 Налогового кодекса Российской Федерации, начисленных плательщиками страховых взносов за расчетный период в пользу физических лиц, за исключением сумм, указанных в статье 422 Налогового кодекса Российской Федерации.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 пунктом 6 Правил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1204, работодатель, направивший работника на прохождение независимой оценки квалификации,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услуг, т.е. средства перечисляются работодателем напрямую поставщику услуг.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Верховный суд Российской Федерации определил, что сам по себе факт наличия трудовых отношений между работодателем и работниками не влечет квалификацию всех производимых ему работодателем выплат как оплату труда в рамках трудовых отношений. И если выплаты не относятся к стимулирующим, не являются частью заработной платы, не зависят от квалификации работников и условий выполнения работы, то они не являются объектом обложения страховыми взносами (определение Верховного Суда от 18 августа 2016 г. N 310-КГ16-10201).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Таким образом, суммы, уплаченные работодателем центру оценки квалификации, не являются вознаграждением за труд работника, частью заработной платы или стимулирующих выплат и не подлежат включению в базу для исчисления страховых взносов.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Данная позиция подтверждается разъяснениями Минфина России, согласно которым сумма оплаты организацией-работодателем стоимости независимой оценки квалификации работника, проводимой в форме профессионального экзамена, не подлежит обложению страховыми взносами (письмо Минфина России от 30 января 2018 г. N 03-04-06/5184; Вопрос: ...Работодатель направил работника на прохождение независимой оценки квалификации. Облагается ли страховыми взносами в 2017 г. оплата экзамена? (Консультация эксперта, Минфин России, 2017).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III. О присвоении квалификационных разрядов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по результатам профессионального обучения по профессиям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сварочного производства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 частью 8 статьей 73 Федерального закона от 29 декабря 2012 года N 273-ФЗ "Об образовании в Российской Федерации" (далее - Федеральный закон N 273-ФЗ) профессиональное обучение осуществляется в соответствии с программой профессионального обучения, разрабатываемой и утверждаемой образовательной организацией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Перечень профессий рабочих, должностей служащих, по которым осуществляется профессиональное обучение, утвержден Приказом Минобрнауки России от 2 июля 2013 года N 513 (далее - Перечень).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Приказом Минтруда России от 28 ноября 2013 г. N 701н утвержден профессиональный стандарт "Сварщик", в котором указаны возможные наименования профессий рабочих. В соответствии с Методическими рекомендациями по разработке профессионального стандарта, утвержденными приказом Минтруда России от 29 апреля 2013 года N 170н, в данной графе указываются примеры наименования должностей работников, выполняющих конкретную обобщенную трудовую функцию.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Положениями статьи 57 Трудового кодекса Российской Федерации установлено, что если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соответствующим положениям профессиональных стандартов.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Возможные наименования профессий в профессиональном стандарте "Сварщик" приведены с указанием разрядов, ранее содержавшихся в Едином тарифно-квалификационном справочнике работ и профессий рабочих (выпуск 1, раздел "Профессии рабочих, общие для всех отраслей народного хозяйства", выпуск 2, раздел "Сварочные работы"; выпуск 27, раздел "Производство полимерных материалов и изделий из них" (далее - ЕТКС).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Приказом Минтруда России от 9 апреля 2018 г. N 215 из ЕТКС исключены тарифно-квалификационные характеристики профессий рабочих, соответствующие профессиональному стандарту "Сварщик". Таким образом, в настоящее время требования к наименованиям профессий и к квалификации по видам профессиональной деятельности в области сварки установлены только профессиональным стандартом. Соответственно, руководствуясь статей 143 Трудового кодекса Российской Федерации, тарификация работ и присвоение тарифных разрядов работникам производится на основании квалификаций, сформированных на основании профессионального стандарта "Сварщик", наименования которых и требования к квалификации, на соответствие которым проводится независимая оценка квалификации, содержатся в Реестре сведений о проведении независимой оценки квалификаций, формируемой в соответствии с Порядком, утвержденным приказом Минтруда России от 15 ноября 2016 года N 649н.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Той же статьей Трудового кодекса Российской Федерации определено, что квалификационный разряд - это величина, отражающая уровень профессиональной подготовки работника. В соответствии с частью 2 статьи 74 Федерального закона N 273-ФЗ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Положениями профессионального стандарта "Сварщик" предусмотрены требования по наличию опыта практической деятельности по обобщенным трудовым функциям, соответствующим профессиям от 4 разряда и выше.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Основываясь на указанных выше положениях Трудового кодекса Российской Федерации, положениях Федерального закона N 273-ФЗ и требованиях профессионального стандарта, установление квалификационных разрядов организацией, осуществляющей образовательную деятельность, возможно исключительно в отношении лиц, прошедших профессиональное обучение, но не имеющих опыта практической деятельности (для профессий в области сварки не выше 2 уровня квалификации или 3 разряда).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соответствии с частью 10 статьи 60 Федерального закона N 273-ФЗ по результатам профессионального обучения выдается документ о квалификации (свидетельство о профессии рабочего, о должности служащего), подтверждающий присвоение квалификационных разрядов, классов, категорий по соответствующим профессиям рабочих, должностям служащих.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Несмотря на то, что в Перечне в графе "Квалификация" по профессиям рабочих в области сварки указан диапазон квалификационных разрядов, фактически отсутствуют нормативные основания для дифференциации квалификационных разрядов, присваиваемых организацией, осуществляющей образовательную деятельность, лицам, прошедших профессиональное обучение.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 другой стороны, согласно Федеральному закону от 3 июля 2016 года N 238-ФЗ "О независимой оценке квалификации" подтверждение соответствия квалификации соискателя положениям профессионального стандарта осуществляется по результатам профессионального экзамена, проводимого центром оценки квалификаций.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Информация о возможности прохождения профессионального экзамена для подтверждения квалификаций сварочного производства, включая сведения о присваиваемых квалификациях и центрах оценки квалификаций, размещена в Реестре сведений о проведении независимой оценки квалификации по адресу https://nok-nark.ru.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"Информационно-аналитические материалы по вопросам развития системы независимой оценки квалификации"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(доведено письмом А...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08.08.2019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0" w:hAnsi="0"/>
      <w:b w:val="false"/>
      <w:i w:val="false"/>
      <w:color w:val="0000FF"/>
      <w:sz w:val="18"/>
    </w:rPr>
  </w:style>
  <w:style w:type="character" w:styleId="ListLabel4">
    <w:name w:val="ListLabel 4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3</Pages>
  <Words>2086</Words>
  <Characters>15842</Characters>
  <CharactersWithSpaces>17870</CharactersWithSpaces>
  <Paragraphs>65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2019-08-08T15:38:00Z</dcterms:created>
  <dc:creator/>
  <dc:description/>
  <dc:language>ru-RU</dc:language>
  <cp:lastModifiedBy/>
  <cp:revision>0</cp:revision>
  <dc:subject/>
  <dc:title>"Информационно-аналитические материалы по вопросам развития системы независимой оценки квалификации"(доведено письмом АНО НАРК от 11.07.2019 N 632/19)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